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61" w:rsidRPr="00DD1E61" w:rsidRDefault="00DD1E61" w:rsidP="00DD1E61">
      <w:pPr>
        <w:spacing w:before="100" w:beforeAutospacing="1" w:after="100" w:afterAutospacing="1" w:line="240" w:lineRule="auto"/>
        <w:jc w:val="left"/>
        <w:outlineLvl w:val="3"/>
        <w:rPr>
          <w:rFonts w:eastAsia="Times New Roman" w:cs="Times New Roman"/>
          <w:b/>
          <w:bCs/>
          <w:szCs w:val="24"/>
          <w:lang w:eastAsia="tr-TR"/>
        </w:rPr>
      </w:pPr>
      <w:r w:rsidRPr="00DD1E61">
        <w:rPr>
          <w:rFonts w:eastAsia="Times New Roman" w:cs="Times New Roman"/>
          <w:b/>
          <w:bCs/>
          <w:szCs w:val="24"/>
          <w:lang w:eastAsia="tr-TR"/>
        </w:rPr>
        <w:t>T.C.</w:t>
      </w:r>
    </w:p>
    <w:p w:rsidR="00DD1E61" w:rsidRPr="00DD1E61" w:rsidRDefault="00DD1E61" w:rsidP="00DD1E61">
      <w:pPr>
        <w:spacing w:before="100" w:beforeAutospacing="1" w:after="100" w:afterAutospacing="1" w:line="240" w:lineRule="auto"/>
        <w:jc w:val="left"/>
        <w:outlineLvl w:val="3"/>
        <w:rPr>
          <w:rFonts w:eastAsia="Times New Roman" w:cs="Times New Roman"/>
          <w:b/>
          <w:bCs/>
          <w:szCs w:val="24"/>
          <w:lang w:eastAsia="tr-TR"/>
        </w:rPr>
      </w:pPr>
      <w:r w:rsidRPr="00DD1E61">
        <w:rPr>
          <w:rFonts w:eastAsia="Times New Roman" w:cs="Times New Roman"/>
          <w:b/>
          <w:bCs/>
          <w:szCs w:val="24"/>
          <w:lang w:eastAsia="tr-TR"/>
        </w:rPr>
        <w:t>YARGITAY</w:t>
      </w:r>
    </w:p>
    <w:p w:rsidR="00DD1E61" w:rsidRPr="00DD1E61" w:rsidRDefault="00DD1E61" w:rsidP="00DD1E61">
      <w:pPr>
        <w:spacing w:before="100" w:beforeAutospacing="1" w:after="100" w:afterAutospacing="1" w:line="240" w:lineRule="auto"/>
        <w:jc w:val="left"/>
        <w:outlineLvl w:val="3"/>
        <w:rPr>
          <w:rFonts w:eastAsia="Times New Roman" w:cs="Times New Roman"/>
          <w:b/>
          <w:bCs/>
          <w:szCs w:val="24"/>
          <w:lang w:eastAsia="tr-TR"/>
        </w:rPr>
      </w:pPr>
      <w:r w:rsidRPr="00DD1E61">
        <w:rPr>
          <w:rFonts w:eastAsia="Times New Roman" w:cs="Times New Roman"/>
          <w:b/>
          <w:bCs/>
          <w:szCs w:val="24"/>
          <w:lang w:eastAsia="tr-TR"/>
        </w:rPr>
        <w:t>9. CEZA DAİRESİ</w:t>
      </w:r>
    </w:p>
    <w:p w:rsidR="00DD1E61" w:rsidRPr="00DD1E61" w:rsidRDefault="00DD1E61" w:rsidP="00DD1E61">
      <w:pPr>
        <w:spacing w:before="100" w:beforeAutospacing="1" w:after="100" w:afterAutospacing="1" w:line="240" w:lineRule="auto"/>
        <w:jc w:val="left"/>
        <w:outlineLvl w:val="3"/>
        <w:rPr>
          <w:rFonts w:eastAsia="Times New Roman" w:cs="Times New Roman"/>
          <w:b/>
          <w:bCs/>
          <w:szCs w:val="24"/>
          <w:lang w:eastAsia="tr-TR"/>
        </w:rPr>
      </w:pPr>
      <w:r w:rsidRPr="00DD1E61">
        <w:rPr>
          <w:rFonts w:eastAsia="Times New Roman" w:cs="Times New Roman"/>
          <w:b/>
          <w:bCs/>
          <w:szCs w:val="24"/>
          <w:lang w:eastAsia="tr-TR"/>
        </w:rPr>
        <w:t>E. 2008/19581</w:t>
      </w:r>
    </w:p>
    <w:p w:rsidR="00DD1E61" w:rsidRPr="00DD1E61" w:rsidRDefault="00DD1E61" w:rsidP="00DD1E61">
      <w:pPr>
        <w:spacing w:before="100" w:beforeAutospacing="1" w:after="100" w:afterAutospacing="1" w:line="240" w:lineRule="auto"/>
        <w:jc w:val="left"/>
        <w:outlineLvl w:val="3"/>
        <w:rPr>
          <w:rFonts w:eastAsia="Times New Roman" w:cs="Times New Roman"/>
          <w:b/>
          <w:bCs/>
          <w:szCs w:val="24"/>
          <w:lang w:eastAsia="tr-TR"/>
        </w:rPr>
      </w:pPr>
      <w:r w:rsidRPr="00DD1E61">
        <w:rPr>
          <w:rFonts w:eastAsia="Times New Roman" w:cs="Times New Roman"/>
          <w:b/>
          <w:bCs/>
          <w:szCs w:val="24"/>
          <w:lang w:eastAsia="tr-TR"/>
        </w:rPr>
        <w:t>K. 2010/12260</w:t>
      </w:r>
    </w:p>
    <w:p w:rsidR="00DD1E61" w:rsidRPr="00DD1E61" w:rsidRDefault="00DD1E61" w:rsidP="00DD1E61">
      <w:pPr>
        <w:spacing w:before="100" w:beforeAutospacing="1" w:after="100" w:afterAutospacing="1" w:line="240" w:lineRule="auto"/>
        <w:jc w:val="left"/>
        <w:outlineLvl w:val="3"/>
        <w:rPr>
          <w:rFonts w:eastAsia="Times New Roman" w:cs="Times New Roman"/>
          <w:b/>
          <w:bCs/>
          <w:szCs w:val="24"/>
          <w:lang w:eastAsia="tr-TR"/>
        </w:rPr>
      </w:pPr>
      <w:r w:rsidRPr="00DD1E61">
        <w:rPr>
          <w:rFonts w:eastAsia="Times New Roman" w:cs="Times New Roman"/>
          <w:b/>
          <w:bCs/>
          <w:szCs w:val="24"/>
          <w:lang w:eastAsia="tr-TR"/>
        </w:rPr>
        <w:t>T. 7.12.2010</w:t>
      </w:r>
    </w:p>
    <w:p w:rsidR="00DD1E61" w:rsidRPr="00DD1E61" w:rsidRDefault="00DD1E61" w:rsidP="00DD1E61">
      <w:pPr>
        <w:spacing w:before="100" w:beforeAutospacing="1" w:after="100" w:afterAutospacing="1" w:line="240" w:lineRule="auto"/>
        <w:jc w:val="left"/>
        <w:outlineLvl w:val="3"/>
        <w:rPr>
          <w:rFonts w:eastAsia="Times New Roman" w:cs="Times New Roman"/>
          <w:b/>
          <w:bCs/>
          <w:szCs w:val="24"/>
          <w:lang w:eastAsia="tr-TR"/>
        </w:rPr>
      </w:pPr>
      <w:r w:rsidRPr="00DD1E61">
        <w:rPr>
          <w:rFonts w:eastAsia="Times New Roman" w:cs="Times New Roman"/>
          <w:b/>
          <w:bCs/>
          <w:szCs w:val="24"/>
          <w:lang w:eastAsia="tr-TR"/>
        </w:rPr>
        <w:t xml:space="preserve">• YARGILAMA GİDERLERİ ( 18 Yaşını Bitirmeyen Sanığın Savunması İçin Yasa Gereği Görevlendirilen Müdafie Ödenen Ücretin Kişisel Geliri Saptanamayan Sanıktan Tahsil Edilemeyeceği - Sanığa Yüklenen Yargılama Giderlerine Bu Ücretin de </w:t>
      </w:r>
      <w:proofErr w:type="gramStart"/>
      <w:r w:rsidRPr="00DD1E61">
        <w:rPr>
          <w:rFonts w:eastAsia="Times New Roman" w:cs="Times New Roman"/>
          <w:b/>
          <w:bCs/>
          <w:szCs w:val="24"/>
          <w:lang w:eastAsia="tr-TR"/>
        </w:rPr>
        <w:t>Dahil</w:t>
      </w:r>
      <w:proofErr w:type="gramEnd"/>
      <w:r w:rsidRPr="00DD1E61">
        <w:rPr>
          <w:rFonts w:eastAsia="Times New Roman" w:cs="Times New Roman"/>
          <w:b/>
          <w:bCs/>
          <w:szCs w:val="24"/>
          <w:lang w:eastAsia="tr-TR"/>
        </w:rPr>
        <w:t xml:space="preserve"> Edilemeyeceği )</w:t>
      </w:r>
    </w:p>
    <w:p w:rsidR="00DD1E61" w:rsidRPr="00DD1E61" w:rsidRDefault="00DD1E61" w:rsidP="00DD1E61">
      <w:pPr>
        <w:spacing w:before="100" w:beforeAutospacing="1" w:after="100" w:afterAutospacing="1" w:line="240" w:lineRule="auto"/>
        <w:jc w:val="left"/>
        <w:outlineLvl w:val="3"/>
        <w:rPr>
          <w:rFonts w:eastAsia="Times New Roman" w:cs="Times New Roman"/>
          <w:b/>
          <w:bCs/>
          <w:szCs w:val="24"/>
          <w:lang w:eastAsia="tr-TR"/>
        </w:rPr>
      </w:pPr>
      <w:r w:rsidRPr="00DD1E61">
        <w:rPr>
          <w:rFonts w:eastAsia="Times New Roman" w:cs="Times New Roman"/>
          <w:b/>
          <w:bCs/>
          <w:szCs w:val="24"/>
          <w:lang w:eastAsia="tr-TR"/>
        </w:rPr>
        <w:lastRenderedPageBreak/>
        <w:t xml:space="preserve">• ONSEKİZ YAŞINI BİTİRMEYEN SANIK ( Savunması İçin Yasa Gereği Görevlendirilen Müdafie Ödenen Ücretin Kişisel Geliri Saptanamayan Sanıktan Tahsil Edilemeyeceği - Sanığa Yüklenen Yargılama Giderlerine Bu Ücretin de </w:t>
      </w:r>
      <w:proofErr w:type="gramStart"/>
      <w:r w:rsidRPr="00DD1E61">
        <w:rPr>
          <w:rFonts w:eastAsia="Times New Roman" w:cs="Times New Roman"/>
          <w:b/>
          <w:bCs/>
          <w:szCs w:val="24"/>
          <w:lang w:eastAsia="tr-TR"/>
        </w:rPr>
        <w:t>Dahil</w:t>
      </w:r>
      <w:proofErr w:type="gramEnd"/>
      <w:r w:rsidRPr="00DD1E61">
        <w:rPr>
          <w:rFonts w:eastAsia="Times New Roman" w:cs="Times New Roman"/>
          <w:b/>
          <w:bCs/>
          <w:szCs w:val="24"/>
          <w:lang w:eastAsia="tr-TR"/>
        </w:rPr>
        <w:t xml:space="preserve"> Edilemeyeceği )</w:t>
      </w:r>
    </w:p>
    <w:p w:rsidR="00DD1E61" w:rsidRPr="00DD1E61" w:rsidRDefault="00DD1E61" w:rsidP="00DD1E61">
      <w:pPr>
        <w:spacing w:before="100" w:beforeAutospacing="1" w:after="100" w:afterAutospacing="1" w:line="240" w:lineRule="auto"/>
        <w:jc w:val="left"/>
        <w:outlineLvl w:val="3"/>
        <w:rPr>
          <w:rFonts w:eastAsia="Times New Roman" w:cs="Times New Roman"/>
          <w:b/>
          <w:bCs/>
          <w:szCs w:val="24"/>
          <w:lang w:eastAsia="tr-TR"/>
        </w:rPr>
      </w:pPr>
      <w:r w:rsidRPr="00DD1E61">
        <w:rPr>
          <w:rFonts w:eastAsia="Times New Roman" w:cs="Times New Roman"/>
          <w:b/>
          <w:bCs/>
          <w:szCs w:val="24"/>
          <w:lang w:eastAsia="tr-TR"/>
        </w:rPr>
        <w:t xml:space="preserve">• MÜDAFİİ GÖREVLENDİRİLMESİ ( Kendisini Yeterince Savunamayacağı Yasada Karine Olarak Öngörülüp Adaletin Gerçekleşmesi Bakımından Savunması İçin Kendisine Müdafi Görevlendirilen Şüpheli veya Sanığın </w:t>
      </w:r>
      <w:proofErr w:type="gramStart"/>
      <w:r w:rsidRPr="00DD1E61">
        <w:rPr>
          <w:rFonts w:eastAsia="Times New Roman" w:cs="Times New Roman"/>
          <w:b/>
          <w:bCs/>
          <w:szCs w:val="24"/>
          <w:lang w:eastAsia="tr-TR"/>
        </w:rPr>
        <w:t>Mahkumiyeti</w:t>
      </w:r>
      <w:proofErr w:type="gramEnd"/>
      <w:r w:rsidRPr="00DD1E61">
        <w:rPr>
          <w:rFonts w:eastAsia="Times New Roman" w:cs="Times New Roman"/>
          <w:b/>
          <w:bCs/>
          <w:szCs w:val="24"/>
          <w:lang w:eastAsia="tr-TR"/>
        </w:rPr>
        <w:t xml:space="preserve"> Halinde Diğer Yargılama Giderlerinden Sorumlu Tutulabileceği )</w:t>
      </w:r>
    </w:p>
    <w:p w:rsidR="00DD1E61" w:rsidRPr="00DD1E61" w:rsidRDefault="00DD1E61" w:rsidP="00DD1E61">
      <w:pPr>
        <w:spacing w:before="100" w:beforeAutospacing="1" w:after="100" w:afterAutospacing="1" w:line="240" w:lineRule="auto"/>
        <w:jc w:val="left"/>
        <w:outlineLvl w:val="3"/>
        <w:rPr>
          <w:rFonts w:eastAsia="Times New Roman" w:cs="Times New Roman"/>
          <w:b/>
          <w:bCs/>
          <w:szCs w:val="24"/>
          <w:lang w:eastAsia="tr-TR"/>
        </w:rPr>
      </w:pPr>
      <w:r w:rsidRPr="00DD1E61">
        <w:rPr>
          <w:rFonts w:eastAsia="Times New Roman" w:cs="Times New Roman"/>
          <w:b/>
          <w:bCs/>
          <w:szCs w:val="24"/>
          <w:lang w:eastAsia="tr-TR"/>
        </w:rPr>
        <w:t xml:space="preserve">5271/m. </w:t>
      </w:r>
      <w:hyperlink r:id="rId6" w:anchor="150" w:history="1">
        <w:r w:rsidRPr="00466C7D">
          <w:rPr>
            <w:rFonts w:eastAsia="Times New Roman" w:cs="Times New Roman"/>
            <w:b/>
            <w:bCs/>
            <w:szCs w:val="24"/>
            <w:u w:val="single"/>
            <w:lang w:eastAsia="tr-TR"/>
          </w:rPr>
          <w:t>150</w:t>
        </w:r>
      </w:hyperlink>
      <w:r w:rsidRPr="00DD1E61">
        <w:rPr>
          <w:rFonts w:eastAsia="Times New Roman" w:cs="Times New Roman"/>
          <w:b/>
          <w:bCs/>
          <w:szCs w:val="24"/>
          <w:lang w:eastAsia="tr-TR"/>
        </w:rPr>
        <w:t xml:space="preserve">, </w:t>
      </w:r>
      <w:hyperlink r:id="rId7" w:anchor="324" w:history="1">
        <w:r w:rsidRPr="00466C7D">
          <w:rPr>
            <w:rFonts w:eastAsia="Times New Roman" w:cs="Times New Roman"/>
            <w:b/>
            <w:bCs/>
            <w:szCs w:val="24"/>
            <w:u w:val="single"/>
            <w:lang w:eastAsia="tr-TR"/>
          </w:rPr>
          <w:t>324</w:t>
        </w:r>
      </w:hyperlink>
      <w:r w:rsidRPr="00DD1E61">
        <w:rPr>
          <w:rFonts w:eastAsia="Times New Roman" w:cs="Times New Roman"/>
          <w:b/>
          <w:bCs/>
          <w:szCs w:val="24"/>
          <w:lang w:eastAsia="tr-TR"/>
        </w:rPr>
        <w:t xml:space="preserve">, </w:t>
      </w:r>
      <w:hyperlink r:id="rId8" w:anchor="325" w:history="1">
        <w:r w:rsidRPr="00466C7D">
          <w:rPr>
            <w:rFonts w:eastAsia="Times New Roman" w:cs="Times New Roman"/>
            <w:b/>
            <w:bCs/>
            <w:szCs w:val="24"/>
            <w:u w:val="single"/>
            <w:lang w:eastAsia="tr-TR"/>
          </w:rPr>
          <w:t>325</w:t>
        </w:r>
      </w:hyperlink>
    </w:p>
    <w:p w:rsidR="00DD1E61" w:rsidRPr="00DD1E61" w:rsidRDefault="00DD1E61" w:rsidP="00DD1E61">
      <w:pPr>
        <w:spacing w:before="100" w:beforeAutospacing="1" w:after="100" w:afterAutospacing="1" w:line="240" w:lineRule="auto"/>
        <w:jc w:val="left"/>
        <w:outlineLvl w:val="3"/>
        <w:rPr>
          <w:rFonts w:eastAsia="Times New Roman" w:cs="Times New Roman"/>
          <w:b/>
          <w:bCs/>
          <w:szCs w:val="24"/>
          <w:lang w:eastAsia="tr-TR"/>
        </w:rPr>
      </w:pPr>
      <w:r w:rsidRPr="00DD1E61">
        <w:rPr>
          <w:rFonts w:eastAsia="Times New Roman" w:cs="Times New Roman"/>
          <w:b/>
          <w:bCs/>
          <w:szCs w:val="24"/>
          <w:lang w:eastAsia="tr-TR"/>
        </w:rPr>
        <w:t>Avrupa İnsan Hakları Sözleşmesi/m. 6</w:t>
      </w:r>
    </w:p>
    <w:p w:rsidR="00DD1E61" w:rsidRPr="00DD1E61" w:rsidRDefault="00DD1E61" w:rsidP="00DD1E61">
      <w:pPr>
        <w:spacing w:before="100" w:beforeAutospacing="1" w:after="100" w:afterAutospacing="1" w:line="240" w:lineRule="auto"/>
        <w:jc w:val="left"/>
        <w:rPr>
          <w:rFonts w:eastAsia="Times New Roman" w:cs="Times New Roman"/>
          <w:szCs w:val="24"/>
          <w:lang w:eastAsia="tr-TR"/>
        </w:rPr>
      </w:pPr>
      <w:proofErr w:type="gramStart"/>
      <w:r w:rsidRPr="00DD1E61">
        <w:rPr>
          <w:rFonts w:eastAsia="Times New Roman" w:cs="Times New Roman"/>
          <w:b/>
          <w:bCs/>
          <w:szCs w:val="24"/>
          <w:lang w:eastAsia="tr-TR"/>
        </w:rPr>
        <w:t xml:space="preserve">ÖZET : </w:t>
      </w:r>
      <w:r w:rsidRPr="00DD1E61">
        <w:rPr>
          <w:rFonts w:eastAsia="Times New Roman" w:cs="Times New Roman"/>
          <w:szCs w:val="24"/>
          <w:lang w:eastAsia="tr-TR"/>
        </w:rPr>
        <w:t>Kendisini</w:t>
      </w:r>
      <w:proofErr w:type="gramEnd"/>
      <w:r w:rsidRPr="00DD1E61">
        <w:rPr>
          <w:rFonts w:eastAsia="Times New Roman" w:cs="Times New Roman"/>
          <w:szCs w:val="24"/>
          <w:lang w:eastAsia="tr-TR"/>
        </w:rPr>
        <w:t xml:space="preserve"> yeterince savunamayacağı yasada karine olarak öngörülüp adaletin gerçekleşmesi bakımından savunması için kendisine müdafi görevlendirilen şüpheli veya sanığın, mahkumiyeti halinde diğer yargılama giderlerinden sorumlu tutulması mümkün ise de, hükmün verildiği tarihte müdafi tutmak için gerekli mali olanaklara sahip bulunduğunun saptanamaması halinde, Yönetmelik ve Tarife gereği müdafie ödenen veya ödenecek olan ücretin kendisinden tahsiline olanak bulunmadığı, bu itibarla </w:t>
      </w:r>
      <w:proofErr w:type="spellStart"/>
      <w:r w:rsidRPr="00DD1E61">
        <w:rPr>
          <w:rFonts w:eastAsia="Times New Roman" w:cs="Times New Roman"/>
          <w:szCs w:val="24"/>
          <w:lang w:eastAsia="tr-TR"/>
        </w:rPr>
        <w:t>onsekiz</w:t>
      </w:r>
      <w:proofErr w:type="spellEnd"/>
      <w:r w:rsidRPr="00DD1E61">
        <w:rPr>
          <w:rFonts w:eastAsia="Times New Roman" w:cs="Times New Roman"/>
          <w:szCs w:val="24"/>
          <w:lang w:eastAsia="tr-TR"/>
        </w:rPr>
        <w:t xml:space="preserve"> yaşını bitirmeyen sanığın savunması için yasa gereği görevlendirilen müdafie ödenen ücretin kişisel geliri saptanamayan sanıktan tahsil edilemeyeceği gözetilmeden, sanığa yüklenen yargılama giderlerine bu ücretin de dahil edilmesi, yasaya aykırıdır. </w:t>
      </w:r>
    </w:p>
    <w:p w:rsidR="00DD1E61" w:rsidRPr="00DD1E61" w:rsidRDefault="00DD1E61" w:rsidP="00DD1E61">
      <w:pPr>
        <w:spacing w:before="100" w:beforeAutospacing="1" w:after="100" w:afterAutospacing="1" w:line="240" w:lineRule="auto"/>
        <w:jc w:val="left"/>
        <w:rPr>
          <w:rFonts w:eastAsia="Times New Roman" w:cs="Times New Roman"/>
          <w:szCs w:val="24"/>
          <w:lang w:eastAsia="tr-TR"/>
        </w:rPr>
      </w:pPr>
      <w:proofErr w:type="gramStart"/>
      <w:r w:rsidRPr="00DD1E61">
        <w:rPr>
          <w:rFonts w:eastAsia="Times New Roman" w:cs="Times New Roman"/>
          <w:b/>
          <w:bCs/>
          <w:szCs w:val="24"/>
          <w:lang w:eastAsia="tr-TR"/>
        </w:rPr>
        <w:t xml:space="preserve">DAVA : </w:t>
      </w:r>
      <w:r w:rsidRPr="00DD1E61">
        <w:rPr>
          <w:rFonts w:eastAsia="Times New Roman" w:cs="Times New Roman"/>
          <w:szCs w:val="24"/>
          <w:lang w:eastAsia="tr-TR"/>
        </w:rPr>
        <w:t>Dosya</w:t>
      </w:r>
      <w:proofErr w:type="gramEnd"/>
      <w:r w:rsidRPr="00DD1E61">
        <w:rPr>
          <w:rFonts w:eastAsia="Times New Roman" w:cs="Times New Roman"/>
          <w:szCs w:val="24"/>
          <w:lang w:eastAsia="tr-TR"/>
        </w:rPr>
        <w:t xml:space="preserve"> incelenerek gereği düşünüldü: </w:t>
      </w:r>
    </w:p>
    <w:p w:rsidR="00DD1E61" w:rsidRPr="00DD1E61" w:rsidRDefault="00DD1E61" w:rsidP="00DD1E61">
      <w:pPr>
        <w:spacing w:before="100" w:beforeAutospacing="1" w:after="100" w:afterAutospacing="1" w:line="240" w:lineRule="auto"/>
        <w:jc w:val="left"/>
        <w:rPr>
          <w:rFonts w:eastAsia="Times New Roman" w:cs="Times New Roman"/>
          <w:szCs w:val="24"/>
          <w:lang w:eastAsia="tr-TR"/>
        </w:rPr>
      </w:pPr>
      <w:proofErr w:type="gramStart"/>
      <w:r w:rsidRPr="00DD1E61">
        <w:rPr>
          <w:rFonts w:eastAsia="Times New Roman" w:cs="Times New Roman"/>
          <w:b/>
          <w:bCs/>
          <w:szCs w:val="24"/>
          <w:lang w:eastAsia="tr-TR"/>
        </w:rPr>
        <w:t xml:space="preserve">KARAR : </w:t>
      </w:r>
      <w:r w:rsidRPr="00DD1E61">
        <w:rPr>
          <w:rFonts w:eastAsia="Times New Roman" w:cs="Times New Roman"/>
          <w:szCs w:val="24"/>
          <w:lang w:eastAsia="tr-TR"/>
        </w:rPr>
        <w:t>Yapılan</w:t>
      </w:r>
      <w:proofErr w:type="gramEnd"/>
      <w:r w:rsidRPr="00DD1E61">
        <w:rPr>
          <w:rFonts w:eastAsia="Times New Roman" w:cs="Times New Roman"/>
          <w:szCs w:val="24"/>
          <w:lang w:eastAsia="tr-TR"/>
        </w:rPr>
        <w:t xml:space="preserve"> yargılamaya, toplanıp karar yerinde gösterilen delillere, mahkemenin kovuşturma sonuçlarına uygun olarak oluşan kanaat ve takdirine, incelenen dosya kapsamına göre sanık müdafiinin yerinde görülmeyen sair itirazlarının reddine, ancak; </w:t>
      </w:r>
    </w:p>
    <w:p w:rsidR="00DD1E61" w:rsidRPr="00DD1E61" w:rsidRDefault="00DD1E61" w:rsidP="00DD1E61">
      <w:pPr>
        <w:spacing w:before="100" w:beforeAutospacing="1" w:after="100" w:afterAutospacing="1" w:line="240" w:lineRule="auto"/>
        <w:jc w:val="left"/>
        <w:rPr>
          <w:rFonts w:eastAsia="Times New Roman" w:cs="Times New Roman"/>
          <w:szCs w:val="24"/>
          <w:lang w:eastAsia="tr-TR"/>
        </w:rPr>
      </w:pPr>
      <w:r w:rsidRPr="00DD1E61">
        <w:rPr>
          <w:rFonts w:eastAsia="Times New Roman" w:cs="Times New Roman"/>
          <w:szCs w:val="24"/>
          <w:lang w:eastAsia="tr-TR"/>
        </w:rPr>
        <w:t xml:space="preserve">Ceza Muhakemesi Kanununda şüpheli veya sanığın savunma hakkını daha güvenli ve etkin kullanabilmesi, şayet bu hakkı kullanabilecek durumda değilse, bu kez savunma hakkının kamusal görev üstlenen kişilerce kullanılabilmesini sağlamak üzere güvence niteliğinde hükümler getirildiği, bu bağlamda Kanunun 150. maddesinin birinci fıkrasında, müdafii seçebilecek durumda olmadığını belirten şüpheli veya sanığın istemi halinde savunma için kendilerine müdafii görevlendirilmesine olanak sağlandığı, ikinci fıkrasında da, bazı kişilerin kendilerini yeterince savunamayacakları düşüncesinden hareketle, müdafii bulunmayan şüpheli veya sanığın; çocuk, kendisini savunamayacak derecede malul veya sağır ve dilsiz olması halinde, istemleri aranmaksızın bunlara bir müdafii görevlendirilmesi ilkesinin benimsendiği, aynı Kanunun 324. maddesinde, harçlar ve tarifesine göre ödenmesi gereken avukatlık ücretleri ile soruşturma ve kovuşturma evrelerinde yargılamanın yürütülmesi amacıyla Devlet Hazinesinden yapılan her türlü harcamalar ve taraflarca yapılan ödemelerin yargılama giderlerinden sayılacağının hükme bağlandığı, yine benzer biçimde Ceza Muhakemesi Kanunu Gereğince Müdafii ve Vekillerin Görevlendirilmeleri ile Yapılacak Ödemelerin Usul ve Esaslarına İlişkin Yönetmeliğin 8. maddesinde, Ceza Muhakemesi Kanunu gereğince barolar tarafından görevlendirilen müdafii veya vekile tarife gereğince ödenen meblağ ile zorunlu yol giderlerinin yargılama giderlerinden sayılacağının belirtildiği, Kanunun 325. maddesinde ise, cezaya veya güvenlik tedbirine mahkûm edilmesi halinde bütün yargılama giderlerinin sanığa yükleneceği kuralının getirildiği, öte yandan Türkiye Cumhuriyeti Anayasası’nın 90/son maddesinde, usulüne göre yürürlüğe konulmuş temel hak </w:t>
      </w:r>
      <w:r w:rsidRPr="00DD1E61">
        <w:rPr>
          <w:rFonts w:eastAsia="Times New Roman" w:cs="Times New Roman"/>
          <w:szCs w:val="24"/>
          <w:lang w:eastAsia="tr-TR"/>
        </w:rPr>
        <w:lastRenderedPageBreak/>
        <w:t xml:space="preserve">ve özgürlüklere ilişkin milletlerarası </w:t>
      </w:r>
      <w:proofErr w:type="spellStart"/>
      <w:r w:rsidRPr="00DD1E61">
        <w:rPr>
          <w:rFonts w:eastAsia="Times New Roman" w:cs="Times New Roman"/>
          <w:szCs w:val="24"/>
          <w:lang w:eastAsia="tr-TR"/>
        </w:rPr>
        <w:t>andlaşmalarla</w:t>
      </w:r>
      <w:proofErr w:type="spellEnd"/>
      <w:r w:rsidRPr="00DD1E61">
        <w:rPr>
          <w:rFonts w:eastAsia="Times New Roman" w:cs="Times New Roman"/>
          <w:szCs w:val="24"/>
          <w:lang w:eastAsia="tr-TR"/>
        </w:rPr>
        <w:t xml:space="preserve"> kanunların aynı konuda farklı hükümler içermesi nedeniyle çıkabilecek uyuşmazlıklarda milletlerarası </w:t>
      </w:r>
      <w:proofErr w:type="spellStart"/>
      <w:r w:rsidRPr="00DD1E61">
        <w:rPr>
          <w:rFonts w:eastAsia="Times New Roman" w:cs="Times New Roman"/>
          <w:szCs w:val="24"/>
          <w:lang w:eastAsia="tr-TR"/>
        </w:rPr>
        <w:t>andlaşma</w:t>
      </w:r>
      <w:proofErr w:type="spellEnd"/>
      <w:r w:rsidRPr="00DD1E61">
        <w:rPr>
          <w:rFonts w:eastAsia="Times New Roman" w:cs="Times New Roman"/>
          <w:szCs w:val="24"/>
          <w:lang w:eastAsia="tr-TR"/>
        </w:rPr>
        <w:t xml:space="preserve"> hükümlerinin esas alınacağının ifade edildiği, Devletimiz tarafından kabul edilen Avrupa İnsan Hakları Sözleşmesinin dürüst yargılanma haklarının asgari şartlarını gösteren 6. maddesinin ( 3-c ) bendinde de, şüpheli veya sanığın “müdafi tutmak için mali olanaklardan yoksun bulunması ve adaletin selametinin de gerektirmesi halinde mahkemece görevlendirilecek bir avukatın yardımından ücret ödemeksizin yararlanabilme </w:t>
      </w:r>
      <w:proofErr w:type="spellStart"/>
      <w:r w:rsidRPr="00DD1E61">
        <w:rPr>
          <w:rFonts w:eastAsia="Times New Roman" w:cs="Times New Roman"/>
          <w:szCs w:val="24"/>
          <w:lang w:eastAsia="tr-TR"/>
        </w:rPr>
        <w:t>hakkı”nın</w:t>
      </w:r>
      <w:proofErr w:type="spellEnd"/>
      <w:r w:rsidRPr="00DD1E61">
        <w:rPr>
          <w:rFonts w:eastAsia="Times New Roman" w:cs="Times New Roman"/>
          <w:szCs w:val="24"/>
          <w:lang w:eastAsia="tr-TR"/>
        </w:rPr>
        <w:t xml:space="preserve"> bulunduğunun açıklandığı, iç hukukumuzda ve tarafı bulunduğumuz Sözleşmede mevcut bu ilkeler karşısında, </w:t>
      </w:r>
      <w:proofErr w:type="spellStart"/>
      <w:r w:rsidRPr="00DD1E61">
        <w:rPr>
          <w:rFonts w:eastAsia="Times New Roman" w:cs="Times New Roman"/>
          <w:szCs w:val="24"/>
          <w:lang w:eastAsia="tr-TR"/>
        </w:rPr>
        <w:t>AİHS’nin</w:t>
      </w:r>
      <w:proofErr w:type="spellEnd"/>
      <w:r w:rsidRPr="00DD1E61">
        <w:rPr>
          <w:rFonts w:eastAsia="Times New Roman" w:cs="Times New Roman"/>
          <w:szCs w:val="24"/>
          <w:lang w:eastAsia="tr-TR"/>
        </w:rPr>
        <w:t xml:space="preserve"> temel hakka ilişkin hüküm içeren 6. maddesinin, iç hukukumuzda aynı konuda yasa ve yönetmeliklerle getirilen ve yukarıda işaret edilen düzenlemelere nazaran öncelikle uygulanması gerektiği, o nedenle kendisini yeterince savunamayacağı yasada karine olarak öngörülüp adaletin gerçekleşmesi bakımından savunması için kendisine müdafi görevlendirilen şüpheli veya sanığın, mahkumiyeti halinde diğer yargılama giderlerinden sorumlu tutulması mümkün ise de, hükmün verildiği tarihte müdafi tutmak için gerekli mali olanaklara sahip bulunduğunun saptanamaması halinde, Yönetmelik ve Tarife gereği müdafie ödenen veya ödenecek olan ücretin kendisinden tahsiline olanak bulunmadığı, bu itibarla </w:t>
      </w:r>
      <w:proofErr w:type="spellStart"/>
      <w:r w:rsidRPr="00DD1E61">
        <w:rPr>
          <w:rFonts w:eastAsia="Times New Roman" w:cs="Times New Roman"/>
          <w:szCs w:val="24"/>
          <w:lang w:eastAsia="tr-TR"/>
        </w:rPr>
        <w:t>onsekiz</w:t>
      </w:r>
      <w:proofErr w:type="spellEnd"/>
      <w:r w:rsidRPr="00DD1E61">
        <w:rPr>
          <w:rFonts w:eastAsia="Times New Roman" w:cs="Times New Roman"/>
          <w:szCs w:val="24"/>
          <w:lang w:eastAsia="tr-TR"/>
        </w:rPr>
        <w:t xml:space="preserve"> yaşını bitirmeyen sanığın savunması için yasa gereği görevlendirilen müdafie ödenen ücretin kişisel geliri saptanamayan sanıktan tahsil edilemeyeceği gözetilmeden, sanığa yüklenen yargılama giderlerine bu ücretin de </w:t>
      </w:r>
      <w:proofErr w:type="gramStart"/>
      <w:r w:rsidRPr="00DD1E61">
        <w:rPr>
          <w:rFonts w:eastAsia="Times New Roman" w:cs="Times New Roman"/>
          <w:szCs w:val="24"/>
          <w:lang w:eastAsia="tr-TR"/>
        </w:rPr>
        <w:t>dahil</w:t>
      </w:r>
      <w:proofErr w:type="gramEnd"/>
      <w:r w:rsidRPr="00DD1E61">
        <w:rPr>
          <w:rFonts w:eastAsia="Times New Roman" w:cs="Times New Roman"/>
          <w:szCs w:val="24"/>
          <w:lang w:eastAsia="tr-TR"/>
        </w:rPr>
        <w:t xml:space="preserve"> edilmesi, </w:t>
      </w:r>
    </w:p>
    <w:p w:rsidR="00DD1E61" w:rsidRPr="00DD1E61" w:rsidRDefault="00DD1E61" w:rsidP="00DD1E61">
      <w:pPr>
        <w:spacing w:before="100" w:beforeAutospacing="1" w:after="100" w:afterAutospacing="1" w:line="240" w:lineRule="auto"/>
        <w:jc w:val="left"/>
        <w:rPr>
          <w:rFonts w:eastAsia="Times New Roman" w:cs="Times New Roman"/>
          <w:szCs w:val="24"/>
          <w:lang w:eastAsia="tr-TR"/>
        </w:rPr>
      </w:pPr>
      <w:proofErr w:type="gramStart"/>
      <w:r w:rsidRPr="00DD1E61">
        <w:rPr>
          <w:rFonts w:eastAsia="Times New Roman" w:cs="Times New Roman"/>
          <w:b/>
          <w:bCs/>
          <w:szCs w:val="24"/>
          <w:lang w:eastAsia="tr-TR"/>
        </w:rPr>
        <w:t xml:space="preserve">SONUÇ : </w:t>
      </w:r>
      <w:r w:rsidRPr="00DD1E61">
        <w:rPr>
          <w:rFonts w:eastAsia="Times New Roman" w:cs="Times New Roman"/>
          <w:szCs w:val="24"/>
          <w:lang w:eastAsia="tr-TR"/>
        </w:rPr>
        <w:t>Kanuna</w:t>
      </w:r>
      <w:proofErr w:type="gramEnd"/>
      <w:r w:rsidRPr="00DD1E61">
        <w:rPr>
          <w:rFonts w:eastAsia="Times New Roman" w:cs="Times New Roman"/>
          <w:szCs w:val="24"/>
          <w:lang w:eastAsia="tr-TR"/>
        </w:rPr>
        <w:t xml:space="preserve"> aykırı olup hükmün bu nedenle BOZULMASINA, bu hususun yeniden yargılama yapılmaksızın </w:t>
      </w:r>
      <w:proofErr w:type="spellStart"/>
      <w:r w:rsidRPr="00DD1E61">
        <w:rPr>
          <w:rFonts w:eastAsia="Times New Roman" w:cs="Times New Roman"/>
          <w:szCs w:val="24"/>
          <w:lang w:eastAsia="tr-TR"/>
        </w:rPr>
        <w:t>CMUK’nın</w:t>
      </w:r>
      <w:proofErr w:type="spellEnd"/>
      <w:r w:rsidRPr="00DD1E61">
        <w:rPr>
          <w:rFonts w:eastAsia="Times New Roman" w:cs="Times New Roman"/>
          <w:szCs w:val="24"/>
          <w:lang w:eastAsia="tr-TR"/>
        </w:rPr>
        <w:t xml:space="preserve"> 322. maddesine göre düzeltilmesi mümkün bulunduğundan, hüküm fıkrasından “soruşturma aşamasında sanık müdafiine ödenen vekalet ücreti 120 YTL, yargılama aşamasında sanık müdafiine ödenen vekalet ücreti 220 YTL olmak üzere toplam 525,40 YTL” ibaresinin çıkartılarak yerine “olmak üzere toplam 185,40 TL” ifadesi eklenmek suretiyle diğer yönleri doğru olan hükmün DÜZELTİLEREK ONANMASINA, 07.12.2010 tarihinde oybirliği ile karar verildi. </w:t>
      </w:r>
    </w:p>
    <w:p w:rsidR="00C20868" w:rsidRDefault="00C20868" w:rsidP="00DD1E61">
      <w:pPr>
        <w:pStyle w:val="Balk4"/>
        <w:rPr>
          <w:rFonts w:ascii="Times New Roman" w:hAnsi="Times New Roman" w:cs="Times New Roman"/>
        </w:rPr>
      </w:pPr>
    </w:p>
    <w:p w:rsidR="00C20868" w:rsidRDefault="00C20868" w:rsidP="00DD1E61">
      <w:pPr>
        <w:pStyle w:val="Balk4"/>
        <w:rPr>
          <w:rFonts w:ascii="Times New Roman" w:hAnsi="Times New Roman" w:cs="Times New Roman"/>
        </w:rPr>
      </w:pPr>
    </w:p>
    <w:p w:rsidR="00C20868" w:rsidRDefault="00C20868" w:rsidP="00DD1E61">
      <w:pPr>
        <w:pStyle w:val="Balk4"/>
        <w:rPr>
          <w:rFonts w:ascii="Times New Roman" w:hAnsi="Times New Roman" w:cs="Times New Roman"/>
        </w:rPr>
      </w:pPr>
    </w:p>
    <w:p w:rsidR="00DD1E61" w:rsidRPr="00466C7D" w:rsidRDefault="00DD1E61" w:rsidP="00DD1E61">
      <w:pPr>
        <w:pStyle w:val="Balk4"/>
        <w:rPr>
          <w:rFonts w:ascii="Times New Roman" w:hAnsi="Times New Roman" w:cs="Times New Roman"/>
        </w:rPr>
      </w:pPr>
      <w:r w:rsidRPr="00466C7D">
        <w:rPr>
          <w:rFonts w:ascii="Times New Roman" w:hAnsi="Times New Roman" w:cs="Times New Roman"/>
        </w:rPr>
        <w:t>T.C.</w:t>
      </w:r>
    </w:p>
    <w:p w:rsidR="00DD1E61" w:rsidRPr="00466C7D" w:rsidRDefault="00DD1E61" w:rsidP="00DD1E61">
      <w:pPr>
        <w:pStyle w:val="Balk4"/>
        <w:rPr>
          <w:rFonts w:ascii="Times New Roman" w:hAnsi="Times New Roman" w:cs="Times New Roman"/>
        </w:rPr>
      </w:pPr>
      <w:r w:rsidRPr="00466C7D">
        <w:rPr>
          <w:rFonts w:ascii="Times New Roman" w:hAnsi="Times New Roman" w:cs="Times New Roman"/>
        </w:rPr>
        <w:t>YARGITAY</w:t>
      </w:r>
    </w:p>
    <w:p w:rsidR="00DD1E61" w:rsidRPr="00466C7D" w:rsidRDefault="00DD1E61" w:rsidP="00DD1E61">
      <w:pPr>
        <w:pStyle w:val="Balk4"/>
        <w:rPr>
          <w:rFonts w:ascii="Times New Roman" w:hAnsi="Times New Roman" w:cs="Times New Roman"/>
        </w:rPr>
      </w:pPr>
      <w:r w:rsidRPr="00466C7D">
        <w:rPr>
          <w:rFonts w:ascii="Times New Roman" w:hAnsi="Times New Roman" w:cs="Times New Roman"/>
        </w:rPr>
        <w:t>2. CEZA DAİRESİ</w:t>
      </w:r>
    </w:p>
    <w:p w:rsidR="00DD1E61" w:rsidRPr="00466C7D" w:rsidRDefault="00DD1E61" w:rsidP="00DD1E61">
      <w:pPr>
        <w:pStyle w:val="Balk4"/>
        <w:rPr>
          <w:rFonts w:ascii="Times New Roman" w:hAnsi="Times New Roman" w:cs="Times New Roman"/>
        </w:rPr>
      </w:pPr>
      <w:r w:rsidRPr="00466C7D">
        <w:rPr>
          <w:rFonts w:ascii="Times New Roman" w:hAnsi="Times New Roman" w:cs="Times New Roman"/>
        </w:rPr>
        <w:t>E. 2009/48524</w:t>
      </w:r>
    </w:p>
    <w:p w:rsidR="00DD1E61" w:rsidRPr="00466C7D" w:rsidRDefault="00DD1E61" w:rsidP="00DD1E61">
      <w:pPr>
        <w:pStyle w:val="Balk4"/>
        <w:rPr>
          <w:rFonts w:ascii="Times New Roman" w:hAnsi="Times New Roman" w:cs="Times New Roman"/>
        </w:rPr>
      </w:pPr>
      <w:r w:rsidRPr="00466C7D">
        <w:rPr>
          <w:rFonts w:ascii="Times New Roman" w:hAnsi="Times New Roman" w:cs="Times New Roman"/>
        </w:rPr>
        <w:t>K. 2011/13291</w:t>
      </w:r>
    </w:p>
    <w:p w:rsidR="00DD1E61" w:rsidRPr="00466C7D" w:rsidRDefault="00DD1E61" w:rsidP="00DD1E61">
      <w:pPr>
        <w:pStyle w:val="Balk4"/>
        <w:rPr>
          <w:rFonts w:ascii="Times New Roman" w:hAnsi="Times New Roman" w:cs="Times New Roman"/>
        </w:rPr>
      </w:pPr>
      <w:r w:rsidRPr="00466C7D">
        <w:rPr>
          <w:rFonts w:ascii="Times New Roman" w:hAnsi="Times New Roman" w:cs="Times New Roman"/>
        </w:rPr>
        <w:t>T. 16.6.2011</w:t>
      </w:r>
    </w:p>
    <w:p w:rsidR="00DD1E61" w:rsidRPr="00466C7D" w:rsidRDefault="00DD1E61" w:rsidP="00DD1E61">
      <w:pPr>
        <w:pStyle w:val="Balk4"/>
        <w:rPr>
          <w:rFonts w:ascii="Times New Roman" w:hAnsi="Times New Roman" w:cs="Times New Roman"/>
        </w:rPr>
      </w:pPr>
      <w:r w:rsidRPr="00466C7D">
        <w:rPr>
          <w:rFonts w:ascii="Times New Roman" w:hAnsi="Times New Roman" w:cs="Times New Roman"/>
        </w:rPr>
        <w:t>• ZORUNLU MÜDAFİ İÇİN ÖDENEN AVUKATLIK ÜCRETİ ( Mali Olanaklardan Yoksun Olduğu Anlaşılan Sanığa Yargılama Gideri Olarak Yükletilmesine Karar Verilemeyeceği )</w:t>
      </w:r>
    </w:p>
    <w:p w:rsidR="00DD1E61" w:rsidRPr="00466C7D" w:rsidRDefault="00DD1E61" w:rsidP="00DD1E61">
      <w:pPr>
        <w:pStyle w:val="Balk4"/>
        <w:rPr>
          <w:rFonts w:ascii="Times New Roman" w:hAnsi="Times New Roman" w:cs="Times New Roman"/>
        </w:rPr>
      </w:pPr>
      <w:r w:rsidRPr="00466C7D">
        <w:rPr>
          <w:rFonts w:ascii="Times New Roman" w:hAnsi="Times New Roman" w:cs="Times New Roman"/>
        </w:rPr>
        <w:t>• AVUKATLIK ÜCRETİ ( Baro'ca Görevlendirilen Zorunlu Müdafi İçin Ödenen - Mali Olanaklardan Yoksun Olduğu Anlaşılan Sanığa Yargılama Gideri Olarak Yükletilemeyeceği )</w:t>
      </w:r>
    </w:p>
    <w:p w:rsidR="00DD1E61" w:rsidRPr="00466C7D" w:rsidRDefault="00DD1E61" w:rsidP="00DD1E61">
      <w:pPr>
        <w:pStyle w:val="Balk4"/>
        <w:rPr>
          <w:rFonts w:ascii="Times New Roman" w:hAnsi="Times New Roman" w:cs="Times New Roman"/>
        </w:rPr>
      </w:pPr>
      <w:r w:rsidRPr="00466C7D">
        <w:rPr>
          <w:rFonts w:ascii="Times New Roman" w:hAnsi="Times New Roman" w:cs="Times New Roman"/>
        </w:rPr>
        <w:t>• YARGILAMA GİDERİ ( Baro'ca Görevlendirilen Zorunlu Müdafi İçin Ödenen Avukatlık Ücretinin Mali Olanaklardan Yoksun Sanığa Yargılama Gideri Olarak Yükletilmesinin Yasa ve Uluslararası Sözleşmelere Aykırılığı )</w:t>
      </w:r>
    </w:p>
    <w:p w:rsidR="00DD1E61" w:rsidRPr="00466C7D" w:rsidRDefault="00DD1E61" w:rsidP="00DD1E61">
      <w:pPr>
        <w:pStyle w:val="Balk4"/>
        <w:rPr>
          <w:rFonts w:ascii="Times New Roman" w:hAnsi="Times New Roman" w:cs="Times New Roman"/>
        </w:rPr>
      </w:pPr>
      <w:r w:rsidRPr="00466C7D">
        <w:rPr>
          <w:rFonts w:ascii="Times New Roman" w:hAnsi="Times New Roman" w:cs="Times New Roman"/>
        </w:rPr>
        <w:t xml:space="preserve">2709/m. </w:t>
      </w:r>
      <w:hyperlink r:id="rId9" w:anchor="90" w:history="1">
        <w:r w:rsidRPr="00466C7D">
          <w:rPr>
            <w:rStyle w:val="Kpr"/>
            <w:rFonts w:ascii="Times New Roman" w:hAnsi="Times New Roman" w:cs="Times New Roman"/>
            <w:color w:val="auto"/>
          </w:rPr>
          <w:t>90</w:t>
        </w:r>
      </w:hyperlink>
      <w:r w:rsidRPr="00466C7D">
        <w:rPr>
          <w:rFonts w:ascii="Times New Roman" w:hAnsi="Times New Roman" w:cs="Times New Roman"/>
        </w:rPr>
        <w:t>/son</w:t>
      </w:r>
    </w:p>
    <w:p w:rsidR="00DD1E61" w:rsidRPr="00466C7D" w:rsidRDefault="00DD1E61" w:rsidP="00DD1E61">
      <w:pPr>
        <w:pStyle w:val="Balk4"/>
        <w:rPr>
          <w:rFonts w:ascii="Times New Roman" w:hAnsi="Times New Roman" w:cs="Times New Roman"/>
        </w:rPr>
      </w:pPr>
      <w:r w:rsidRPr="00466C7D">
        <w:rPr>
          <w:rFonts w:ascii="Times New Roman" w:hAnsi="Times New Roman" w:cs="Times New Roman"/>
        </w:rPr>
        <w:t xml:space="preserve">5271/m. </w:t>
      </w:r>
      <w:hyperlink r:id="rId10" w:anchor="150" w:history="1">
        <w:r w:rsidRPr="00466C7D">
          <w:rPr>
            <w:rStyle w:val="Kpr"/>
            <w:rFonts w:ascii="Times New Roman" w:hAnsi="Times New Roman" w:cs="Times New Roman"/>
            <w:color w:val="auto"/>
          </w:rPr>
          <w:t>150</w:t>
        </w:r>
      </w:hyperlink>
      <w:r w:rsidRPr="00466C7D">
        <w:rPr>
          <w:rFonts w:ascii="Times New Roman" w:hAnsi="Times New Roman" w:cs="Times New Roman"/>
        </w:rPr>
        <w:t xml:space="preserve">, </w:t>
      </w:r>
      <w:hyperlink r:id="rId11" w:anchor="324" w:history="1">
        <w:r w:rsidRPr="00466C7D">
          <w:rPr>
            <w:rStyle w:val="Kpr"/>
            <w:rFonts w:ascii="Times New Roman" w:hAnsi="Times New Roman" w:cs="Times New Roman"/>
            <w:color w:val="auto"/>
          </w:rPr>
          <w:t>324</w:t>
        </w:r>
      </w:hyperlink>
      <w:r w:rsidRPr="00466C7D">
        <w:rPr>
          <w:rFonts w:ascii="Times New Roman" w:hAnsi="Times New Roman" w:cs="Times New Roman"/>
        </w:rPr>
        <w:t xml:space="preserve">, </w:t>
      </w:r>
      <w:hyperlink r:id="rId12" w:anchor="325" w:history="1">
        <w:r w:rsidRPr="00466C7D">
          <w:rPr>
            <w:rStyle w:val="Kpr"/>
            <w:rFonts w:ascii="Times New Roman" w:hAnsi="Times New Roman" w:cs="Times New Roman"/>
            <w:color w:val="auto"/>
          </w:rPr>
          <w:t>325</w:t>
        </w:r>
      </w:hyperlink>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Avrupa İnsan Hakları Sözleşmesi/m. 6/3-c </w:t>
      </w:r>
    </w:p>
    <w:p w:rsidR="00DD1E61" w:rsidRPr="00466C7D" w:rsidRDefault="00DD1E61" w:rsidP="00DD1E61">
      <w:pPr>
        <w:pStyle w:val="NormalWeb"/>
        <w:rPr>
          <w:rFonts w:ascii="Times New Roman" w:hAnsi="Times New Roman" w:cs="Times New Roman"/>
        </w:rPr>
      </w:pPr>
      <w:proofErr w:type="gramStart"/>
      <w:r w:rsidRPr="00466C7D">
        <w:rPr>
          <w:rFonts w:ascii="Times New Roman" w:hAnsi="Times New Roman" w:cs="Times New Roman"/>
          <w:b/>
          <w:bCs/>
        </w:rPr>
        <w:t xml:space="preserve">ÖZET : </w:t>
      </w:r>
      <w:r w:rsidRPr="00466C7D">
        <w:rPr>
          <w:rFonts w:ascii="Times New Roman" w:hAnsi="Times New Roman" w:cs="Times New Roman"/>
        </w:rPr>
        <w:t>Ceza</w:t>
      </w:r>
      <w:proofErr w:type="gramEnd"/>
      <w:r w:rsidRPr="00466C7D">
        <w:rPr>
          <w:rFonts w:ascii="Times New Roman" w:hAnsi="Times New Roman" w:cs="Times New Roman"/>
        </w:rPr>
        <w:t xml:space="preserve"> Yargılama Yasası'nın 150/3. maddesi uyarınca, mahkemesince Baro'ya yazı yazılarak sanığı savunmak üzere bir avukatın görevlendirilmesi nedeniyle, zorunlu müdafi için ödenen avukatlık ücretinin, dosyadaki bilgilerden mali olanaklardan yoksun olduğu anlaşılan sanığa, yargılama gideri olarak yükletilmesine karar verilmesi, Avrupa İnsan Hakları Sözleşmesi'nin 6/3-c maddesindeki düzenlemeye açıkça aykırıdır. Zorunlu müdafi için ödenen avukatlık ücreti, yargılama gideri olarak sanığa yükletilmez. </w:t>
      </w:r>
    </w:p>
    <w:p w:rsidR="00DD1E61" w:rsidRPr="00466C7D" w:rsidRDefault="00DD1E61" w:rsidP="00DD1E61">
      <w:pPr>
        <w:pStyle w:val="NormalWeb"/>
        <w:rPr>
          <w:rFonts w:ascii="Times New Roman" w:hAnsi="Times New Roman" w:cs="Times New Roman"/>
        </w:rPr>
      </w:pPr>
      <w:proofErr w:type="gramStart"/>
      <w:r w:rsidRPr="00466C7D">
        <w:rPr>
          <w:rFonts w:ascii="Times New Roman" w:hAnsi="Times New Roman" w:cs="Times New Roman"/>
          <w:b/>
          <w:bCs/>
        </w:rPr>
        <w:t xml:space="preserve">DAVA : </w:t>
      </w:r>
      <w:r w:rsidRPr="00466C7D">
        <w:rPr>
          <w:rFonts w:ascii="Times New Roman" w:hAnsi="Times New Roman" w:cs="Times New Roman"/>
        </w:rPr>
        <w:t>Dosya</w:t>
      </w:r>
      <w:proofErr w:type="gramEnd"/>
      <w:r w:rsidRPr="00466C7D">
        <w:rPr>
          <w:rFonts w:ascii="Times New Roman" w:hAnsi="Times New Roman" w:cs="Times New Roman"/>
        </w:rPr>
        <w:t xml:space="preserve"> incelenerek gereği düşünüldü: </w:t>
      </w:r>
    </w:p>
    <w:p w:rsidR="00DD1E61" w:rsidRPr="00466C7D" w:rsidRDefault="00DD1E61" w:rsidP="00DD1E61">
      <w:pPr>
        <w:pStyle w:val="NormalWeb"/>
        <w:rPr>
          <w:rFonts w:ascii="Times New Roman" w:hAnsi="Times New Roman" w:cs="Times New Roman"/>
        </w:rPr>
      </w:pPr>
      <w:proofErr w:type="gramStart"/>
      <w:r w:rsidRPr="00466C7D">
        <w:rPr>
          <w:rFonts w:ascii="Times New Roman" w:hAnsi="Times New Roman" w:cs="Times New Roman"/>
          <w:b/>
          <w:bCs/>
        </w:rPr>
        <w:t xml:space="preserve">KARAR : </w:t>
      </w:r>
      <w:r w:rsidRPr="00466C7D">
        <w:rPr>
          <w:rFonts w:ascii="Times New Roman" w:hAnsi="Times New Roman" w:cs="Times New Roman"/>
        </w:rPr>
        <w:t>İlk</w:t>
      </w:r>
      <w:proofErr w:type="gramEnd"/>
      <w:r w:rsidRPr="00466C7D">
        <w:rPr>
          <w:rFonts w:ascii="Times New Roman" w:hAnsi="Times New Roman" w:cs="Times New Roman"/>
        </w:rPr>
        <w:t xml:space="preserve"> derece mahkemesince verilen hüküm sanık savunmanınca temyiz edildiğinden; istemin niteliğine, ceza türüne, süresine ve suç tarihine göre dosya görüşüldü. </w:t>
      </w:r>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Temyiz isteğinin reddi nedenleri bulunmadığından işin esasına geçildi. Yargılama sürecini yansıtan tutanaklar, belgeler ve gerekçe içeriğine göre; </w:t>
      </w:r>
    </w:p>
    <w:p w:rsidR="00DD1E61" w:rsidRPr="00466C7D" w:rsidRDefault="00DD1E61" w:rsidP="00DD1E61">
      <w:pPr>
        <w:pStyle w:val="NormalWeb"/>
        <w:rPr>
          <w:rFonts w:ascii="Times New Roman" w:hAnsi="Times New Roman" w:cs="Times New Roman"/>
        </w:rPr>
      </w:pPr>
      <w:proofErr w:type="gramStart"/>
      <w:r w:rsidRPr="00466C7D">
        <w:rPr>
          <w:rFonts w:ascii="Times New Roman" w:hAnsi="Times New Roman" w:cs="Times New Roman"/>
        </w:rPr>
        <w:t xml:space="preserve">Cumhuriyet Savcısının önceki duruşmada sunduğu esas hakkındaki görüşünün değişip değişmediği hususu son duruşmada sorulmamış ise de; hükümden sonra yürürlüğe giren 6217 sayılı Kanun'un 26. maddesi ile 5320 sayılı Kanun'a eklenen geçici 3. maddesinde "01.01.2014 tarihine kadar, asliye ceza mahkemelerinde yapılan duruşmalarda Cumhuriyet Savcısı bulunmayacağı" yönündeki düzenleme karşısında, bu aykırılık sonuca etkili görülmediğinden </w:t>
      </w:r>
      <w:proofErr w:type="spellStart"/>
      <w:r w:rsidRPr="00466C7D">
        <w:rPr>
          <w:rFonts w:ascii="Times New Roman" w:hAnsi="Times New Roman" w:cs="Times New Roman"/>
        </w:rPr>
        <w:t>tebliğnamedeki</w:t>
      </w:r>
      <w:proofErr w:type="spellEnd"/>
      <w:r w:rsidRPr="00466C7D">
        <w:rPr>
          <w:rFonts w:ascii="Times New Roman" w:hAnsi="Times New Roman" w:cs="Times New Roman"/>
        </w:rPr>
        <w:t xml:space="preserve"> ( 1 ) no.lu bozma düşüncesine, Cumhuriyet Savcısının görüşünden sonra hazır bulunan sanık savunmanına ( müdafiine ) esas hakkındaki savunması ve mütalaaya karşı diyecekleri sorulmak suretiyle son söz hakkı verilerek yargılamanın bitirildiğinin anlaşılması karşısında </w:t>
      </w:r>
      <w:proofErr w:type="spellStart"/>
      <w:r w:rsidRPr="00466C7D">
        <w:rPr>
          <w:rFonts w:ascii="Times New Roman" w:hAnsi="Times New Roman" w:cs="Times New Roman"/>
        </w:rPr>
        <w:t>tebliğnamedeki</w:t>
      </w:r>
      <w:proofErr w:type="spellEnd"/>
      <w:r w:rsidRPr="00466C7D">
        <w:rPr>
          <w:rFonts w:ascii="Times New Roman" w:hAnsi="Times New Roman" w:cs="Times New Roman"/>
        </w:rPr>
        <w:t xml:space="preserve"> ( 2 ) no.lu bozma düşüncesine </w:t>
      </w:r>
      <w:proofErr w:type="spellStart"/>
      <w:r w:rsidRPr="00466C7D">
        <w:rPr>
          <w:rFonts w:ascii="Times New Roman" w:hAnsi="Times New Roman" w:cs="Times New Roman"/>
        </w:rPr>
        <w:t>katılınmamış</w:t>
      </w:r>
      <w:proofErr w:type="spellEnd"/>
      <w:r w:rsidRPr="00466C7D">
        <w:rPr>
          <w:rFonts w:ascii="Times New Roman" w:hAnsi="Times New Roman" w:cs="Times New Roman"/>
        </w:rPr>
        <w:t xml:space="preserve">, yapılan incelemede başkaca nedenler yerinde görülmemiştir. </w:t>
      </w:r>
      <w:proofErr w:type="gramEnd"/>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Ancak; savunma hakkı, 1982 Anayasası'nın 36. maddesinde hak arama özgürlüğü ( hürriyeti ) başlığı altında temel bir hak olarak düzenlemiştir. Bu hükme göre, "herkes, meşru vasıta ve yollardan faydalanmak suretiyle yargı mercileri önünde davacı veya davalı olarak iddia ve savunma ile adil yargılanma hakkına sahiptir." </w:t>
      </w:r>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Bir hakkın, temel hak olarak Anayasa'da yer almış olması, o hakkın değerini ve önemini vurgulayan bir düzenlemedir. Ayrıca bir hakkın temel hak sayılması, o hakkın saygınlığını ve güvencesini artırmaktadır. Anayasamızın 12/1. maddesine göre; temel haklara dokunulamaz, devredilemez ve vazgeçilemez. Ceza yargılamasında sanığın en önemli hakkı savunma hakkıdır ve yargılamanın her aşamasında söz konusudur. Uluslararası belgelerden, İnsan Hakları Evrensel Bildirgesi'nde ( m. 121/1 ), Medeni ve Siyasi Haklara İlişkin Milletlerarası </w:t>
      </w:r>
      <w:proofErr w:type="spellStart"/>
      <w:r w:rsidRPr="00466C7D">
        <w:rPr>
          <w:rFonts w:ascii="Times New Roman" w:hAnsi="Times New Roman" w:cs="Times New Roman"/>
        </w:rPr>
        <w:t>Andlaşma'da</w:t>
      </w:r>
      <w:proofErr w:type="spellEnd"/>
      <w:r w:rsidRPr="00466C7D">
        <w:rPr>
          <w:rFonts w:ascii="Times New Roman" w:hAnsi="Times New Roman" w:cs="Times New Roman"/>
        </w:rPr>
        <w:t xml:space="preserve"> ( m. 14/3-b ) ve Avrupa İnsan Hakları Sözleşmesi'nde ( m. 6/3-b ) savunma hakkına ilişkin düzenlemelere yer verilmiştir. </w:t>
      </w:r>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Savunma hakkı, birçok hakkı içerir. Bunlar arasında; savunmandan ( müdafiden ) yararlanma, susma, soru sorma, tercüman yardımından yararlanma, kanıtların ( delillerin ) toplanmasını isteme, duruşmada hazır bulunma ve diğerleri sayılabilir. </w:t>
      </w:r>
      <w:proofErr w:type="gramStart"/>
      <w:r w:rsidRPr="00466C7D">
        <w:rPr>
          <w:rFonts w:ascii="Times New Roman" w:hAnsi="Times New Roman" w:cs="Times New Roman"/>
        </w:rPr>
        <w:t xml:space="preserve">Şüpheli ya da sanığın savunmandan ( müdafiden ) yararlanma hakkı; yargılamanın her aşamasında, soruşturma ve kovuşturma evrelerinde, hatta infaz sırasında ya da yargılamanın iadesi söz konusu olduğunda kendi seçtiği ya da zorunlu olarak Baro tarafından görevlendirilmiş ( atanmış ) savunmanın ( müdafiin ) yardımından yararlanmadır ( AİHS m. 6/3-a; CYY m. 147/1-c, 149, 150 ). </w:t>
      </w:r>
      <w:proofErr w:type="gramEnd"/>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Yasa koyucu, belli durumlarda savunman ( müdafi ) zorunluluğu öngörmüştür. Bu hallerde savunmanın ( müdafii ) işlemlerde hazır bulunması, adil yargılanma hakkı gereğidir. </w:t>
      </w:r>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Ceza Yargılama Yasası'nda, zorunlu olarak savunmanın bulunması gerektiği durumlar açıkça belirtilmiştir. </w:t>
      </w:r>
      <w:proofErr w:type="gramStart"/>
      <w:r w:rsidRPr="00466C7D">
        <w:rPr>
          <w:rFonts w:ascii="Times New Roman" w:hAnsi="Times New Roman" w:cs="Times New Roman"/>
        </w:rPr>
        <w:t xml:space="preserve">Bu durumlar; sanığın/şüphelinin </w:t>
      </w:r>
      <w:proofErr w:type="spellStart"/>
      <w:r w:rsidRPr="00466C7D">
        <w:rPr>
          <w:rFonts w:ascii="Times New Roman" w:hAnsi="Times New Roman" w:cs="Times New Roman"/>
        </w:rPr>
        <w:t>onsekiz</w:t>
      </w:r>
      <w:proofErr w:type="spellEnd"/>
      <w:r w:rsidRPr="00466C7D">
        <w:rPr>
          <w:rFonts w:ascii="Times New Roman" w:hAnsi="Times New Roman" w:cs="Times New Roman"/>
        </w:rPr>
        <w:t xml:space="preserve"> yaşını doldurmamış olması, sanığın/şüphelinin sağır ve dilsiz olması, sanığın/şüphelinin kendisini savunamayacak derecede malul olması, soruşturma ve kovuşturma yapılan suçun cezasının alt sınırının beş yıldan fazla hapis cezasını gerektirmesi ( CYY m. 150 ), sanığın/şüphelinin tutuklama istemiyle sorguya sevk edilmesi ( CYY m. 101/3 ), kaçak sanık hakkında duruşma yapılması ( CYY m. 247/3 ), sanığın/şüphelinin resmi bir kurumda kusur yeteneğinin araştırılması için gözlem altına alınmasına karar verilecek olması ( CYY m. 74/2 ), sanığın duruşmanın düzenini bozduğu için oturumlara yokluğunda devam edilmesi ( CYY m. 204 ). </w:t>
      </w:r>
      <w:proofErr w:type="gramEnd"/>
      <w:r w:rsidRPr="00466C7D">
        <w:rPr>
          <w:rFonts w:ascii="Times New Roman" w:hAnsi="Times New Roman" w:cs="Times New Roman"/>
        </w:rPr>
        <w:t xml:space="preserve">Bu hallerde, şüphelinin ya da sanığın savunmanı ( müdafii ) </w:t>
      </w:r>
      <w:proofErr w:type="gramStart"/>
      <w:r w:rsidRPr="00466C7D">
        <w:rPr>
          <w:rFonts w:ascii="Times New Roman" w:hAnsi="Times New Roman" w:cs="Times New Roman"/>
        </w:rPr>
        <w:t>yoksa,</w:t>
      </w:r>
      <w:proofErr w:type="gramEnd"/>
      <w:r w:rsidRPr="00466C7D">
        <w:rPr>
          <w:rFonts w:ascii="Times New Roman" w:hAnsi="Times New Roman" w:cs="Times New Roman"/>
        </w:rPr>
        <w:t xml:space="preserve"> istemi aranmaksızın, Baro'dan savunman ( müdafi ) görevlendirilmesi istenir. Şüpheli ya da sanığın savunman ( müdafi ) ile savunulmayı isteyip istememesi önem taşımaz. </w:t>
      </w:r>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Ceza Yargılama Yasası'nın 324. maddesinde yargılama giderlerinin neleri kapsayacağı, kimin tarafından belirleneceği, kime ve nasıl yükletileceği hususları düzenlenmiştir. </w:t>
      </w:r>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Buna göre; soruşturma ve kovuşturma evrelerinde, kamu davasının gerektirdiği yargılamanın yürütülmesi amacıyla Devlet Hazinesi ve taraflarca yapılan ödemeler yargılama giderlerini oluşturur. Avukatlara, bilirkişi ve tanıklara verilen gündelik, yolluk ve ücretlerle keşif, muayene, tahlil ve posta giderleri yanında harçlar, Avukatlık Asgari Ücret Tarifesine göre taraflara ödenmesi gereken avukatlık ücretleri de yargılama giderlerine </w:t>
      </w:r>
      <w:proofErr w:type="gramStart"/>
      <w:r w:rsidRPr="00466C7D">
        <w:rPr>
          <w:rFonts w:ascii="Times New Roman" w:hAnsi="Times New Roman" w:cs="Times New Roman"/>
        </w:rPr>
        <w:t>dahildir</w:t>
      </w:r>
      <w:proofErr w:type="gramEnd"/>
      <w:r w:rsidRPr="00466C7D">
        <w:rPr>
          <w:rFonts w:ascii="Times New Roman" w:hAnsi="Times New Roman" w:cs="Times New Roman"/>
        </w:rPr>
        <w:t xml:space="preserve">. </w:t>
      </w:r>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Yargılama giderlerinin ve taraflardan birinin diğerine ödemesi gereken paranın miktarını yargıç ya da mahkeme başkanı belirler. Bunların hüküm ve kararda ayrıntıları ve dayanakları ile gösterilmesi, kimlere yükletildiğinin de belirtilmesi gereklidir. </w:t>
      </w:r>
    </w:p>
    <w:p w:rsidR="00DD1E61" w:rsidRPr="00466C7D" w:rsidRDefault="00DD1E61" w:rsidP="00DD1E61">
      <w:pPr>
        <w:pStyle w:val="NormalWeb"/>
        <w:rPr>
          <w:rFonts w:ascii="Times New Roman" w:hAnsi="Times New Roman" w:cs="Times New Roman"/>
        </w:rPr>
      </w:pPr>
      <w:proofErr w:type="gramStart"/>
      <w:r w:rsidRPr="00466C7D">
        <w:rPr>
          <w:rFonts w:ascii="Times New Roman" w:hAnsi="Times New Roman" w:cs="Times New Roman"/>
        </w:rPr>
        <w:t xml:space="preserve">Ceza Yargılama Yasası'nın Yürürlük ve Uygulama Şekli Hakkındaki Yasa'nın 13. maddesine göre ise; "Ceza Muhakemesi Kanunu gereğince soruşturma ve kovuşturma makamlarının istemi üzerine Baro tarafından görevlendirilen müdafi ve vekile, avukatlık ücret tarifesinden ayrık olarak, Türkiye Barolar Birliği'nin görüşü de alınarak Adalet ve Maliye Bakanlıkları tarafından birlikte tespit edilecek ücret, Adalet Bakanlığı bütçesinde bu amaçla yer alan ödenekten ödenir. </w:t>
      </w:r>
      <w:proofErr w:type="gramEnd"/>
      <w:r w:rsidRPr="00466C7D">
        <w:rPr>
          <w:rFonts w:ascii="Times New Roman" w:hAnsi="Times New Roman" w:cs="Times New Roman"/>
        </w:rPr>
        <w:t xml:space="preserve">Bu ücret, yargılama giderlerinden sayılır. </w:t>
      </w:r>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Bu madde uyarınca yapılacak ödeme ve uygulamaya ilişkin usul ve esaslar Türkiye Barolar Birliği'nin görüşü de alınmak suretiyle Adalet Bakanlığı tarafından çıkarılacak yönetmelikle belirlenir." </w:t>
      </w:r>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Ceza Yargılama Yasası Gereğince Savunman ( müdafi ) ve Vekillerin Görevlendirilmeleri ile Yapılacak Ödemelerin Usul ve Esaslarına İlişkin Yönetmeliğin 8. maddesinde de ödeme usul ve esasları belirlenmiştir. </w:t>
      </w:r>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Buna göre; "Ceza Muhakemesi Kanunu gereğince Baro tarafından görevlendirilen müdafii veya vekile Avukatlık Asgari Ücret Tarifesinden ayrık olarak hazırlanacak 'Ceza Muhakemesi Kanunu Gereğince Görevlendirilen Müdafii ve Vekillere Yapılacak Ödemelere İlişkin Tarife' gereğince ödenecek meblağ Adalet Bakanlığı bütçesinde bu amaçla ayrılan ödenekten karşılanır. </w:t>
      </w:r>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Müdafii veya vekilin görevi gereği yaptığı zorunlu yol giderleri ayrıca ödenir. </w:t>
      </w:r>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Müdafii veya vekile Tarife gereğince ödenen meblağ ile zorunlu yol giderleri yargılama giderlerinden sayılır." </w:t>
      </w:r>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Ceza Yargılama Yasası'nın 325. maddesi uyarınca, cezaya ya da güvenlik önlemine ( tedbirine ) </w:t>
      </w:r>
      <w:proofErr w:type="gramStart"/>
      <w:r w:rsidRPr="00466C7D">
        <w:rPr>
          <w:rFonts w:ascii="Times New Roman" w:hAnsi="Times New Roman" w:cs="Times New Roman"/>
        </w:rPr>
        <w:t>mahkum</w:t>
      </w:r>
      <w:proofErr w:type="gramEnd"/>
      <w:r w:rsidRPr="00466C7D">
        <w:rPr>
          <w:rFonts w:ascii="Times New Roman" w:hAnsi="Times New Roman" w:cs="Times New Roman"/>
        </w:rPr>
        <w:t xml:space="preserve"> edilmesi halinde, bütün yargılama giderleri sanığa yüklenir. </w:t>
      </w:r>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Öte yandan; Avrupa İnsan Hakları Sözleşmesi'nin 6/3-c maddesinde, her sanığın kendi kendini savunmaktan başka, kendisinin seçeceği ya da mali olanaklardan yoksun bulunuyor ve adaletin selameti gerektiriyorsa, mahkemece görevlendirilecek bir avukatın para ödemeksizin yardımından yararlanma hakkına da sahip olduğu belirtilmektedir. </w:t>
      </w:r>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Uluslararası sözleşmelerin iç hukuktaki yeri ve değeri konusunda Anayasa ( m. 90/son ) iki temel kural koymuştur. Bu kurallardan biri, "Uluslararası anlaşmalar yasa gücündedir", diğeri ise "Uluslararası anlaşmaların Anayasa'ya aykırılığının ileri sürülememesi, </w:t>
      </w:r>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Anayasa'nın 90. maddesinin son fıkrasına, 07.05.2004 tarihli ve 5170 sayılı Yasa ile şu cümle eklenmiştir: "Usulüne göre yürürlüğe konulmuş temel hak ve özgürlüklere ilişkin milletlerarası anlaşmalarla kanunların aynı konuda farklı hükümler içermesi nedeni ile çıkabilecek uyuşmazlıklarda milletlerarası anlaşma hükümleri esas alınır." </w:t>
      </w:r>
    </w:p>
    <w:p w:rsidR="00DD1E61" w:rsidRPr="00466C7D" w:rsidRDefault="00DD1E61" w:rsidP="00DD1E61">
      <w:pPr>
        <w:pStyle w:val="NormalWeb"/>
        <w:rPr>
          <w:rFonts w:ascii="Times New Roman" w:hAnsi="Times New Roman" w:cs="Times New Roman"/>
        </w:rPr>
      </w:pPr>
      <w:r w:rsidRPr="00466C7D">
        <w:rPr>
          <w:rFonts w:ascii="Times New Roman" w:hAnsi="Times New Roman" w:cs="Times New Roman"/>
        </w:rPr>
        <w:t xml:space="preserve">Uluslararası sözleşmeler/anlaşmalar, daha ileri kurallar içerdiği sürece, taraflarca ileri sürülmemiş olsa dahi, yargıçlar uyuşmazlıkları, ulusal yasalara göre değil, kendiliğinden uluslararası sözleşmeleri gözeterek çözmelidir. Bu anayasal bir yükümlülüktür. </w:t>
      </w:r>
    </w:p>
    <w:p w:rsidR="00DD1E61" w:rsidRPr="00466C7D" w:rsidRDefault="00DD1E61" w:rsidP="00DD1E61">
      <w:pPr>
        <w:pStyle w:val="NormalWeb"/>
        <w:rPr>
          <w:rFonts w:ascii="Times New Roman" w:hAnsi="Times New Roman" w:cs="Times New Roman"/>
        </w:rPr>
      </w:pPr>
      <w:proofErr w:type="gramStart"/>
      <w:r w:rsidRPr="00466C7D">
        <w:rPr>
          <w:rFonts w:ascii="Times New Roman" w:hAnsi="Times New Roman" w:cs="Times New Roman"/>
        </w:rPr>
        <w:t xml:space="preserve">Anılan düzenlemeler ve açıklamalara göre; sanığa Ceza Yargılama Yasası'nın 150/3. maddesi uyarınca, mahkemesince Baro'ya yazı yazılarak sanığı savunmak üzere bir avukatın görevlendirilmesi nedeniyle, zorunlu savunman için ödenen avukatlık ücretinin, dosyadaki bilgilerden mali olanaklardan yoksun olduğu anlaşılan sanığa, yargılama gideri olarak yükletilmesine karar verilmesi, Avrupa İnsan Hakları Sözleşmesi'nin 6/3-c maddesindeki düzenlemeye açıkça aykırı olduğundan, bu aykırılık nedeniyle, sanık savunmanının temyiz istemi yerinde görüldüğünden, </w:t>
      </w:r>
      <w:proofErr w:type="gramEnd"/>
    </w:p>
    <w:p w:rsidR="00DD1E61" w:rsidRPr="00466C7D" w:rsidRDefault="00DD1E61" w:rsidP="00DD1E61">
      <w:pPr>
        <w:pStyle w:val="NormalWeb"/>
        <w:rPr>
          <w:rFonts w:ascii="Times New Roman" w:hAnsi="Times New Roman" w:cs="Times New Roman"/>
        </w:rPr>
      </w:pPr>
      <w:proofErr w:type="gramStart"/>
      <w:r w:rsidRPr="00466C7D">
        <w:rPr>
          <w:rFonts w:ascii="Times New Roman" w:hAnsi="Times New Roman" w:cs="Times New Roman"/>
          <w:b/>
          <w:bCs/>
        </w:rPr>
        <w:t xml:space="preserve">SONUÇ : </w:t>
      </w:r>
      <w:r w:rsidRPr="00466C7D">
        <w:rPr>
          <w:rFonts w:ascii="Times New Roman" w:hAnsi="Times New Roman" w:cs="Times New Roman"/>
        </w:rPr>
        <w:t>İsteme</w:t>
      </w:r>
      <w:proofErr w:type="gramEnd"/>
      <w:r w:rsidRPr="00466C7D">
        <w:rPr>
          <w:rFonts w:ascii="Times New Roman" w:hAnsi="Times New Roman" w:cs="Times New Roman"/>
        </w:rPr>
        <w:t xml:space="preserve"> uygun olarak hükmün ( BOZULMASINA ), bozma nedeni, yeniden yargılama yapılmasını gerektirmediğinden, 5320 sayılı Yasa'nın 8. maddesi uyarınca halen yürürlükte bulunan 1412 sayılı Ceza Yargılama Yasası'nın 322. maddesinin verdiği yetkiye dayanılarak, zorunlu savunman ( müdafii ) için ödenen 220 lira avukatlık ücretinin, yargılama gideri olarak sanığa yükletilmesine ilişkin bölümün hüküm fıkrasından çıkartılmasına, diğer yönleri usul ve yasaya uygun bulunan hükmün ( DÜZELTİLEREK ONANMASINA ), 16.06.2011 tarihinde oybirliğiyle karar verildi. </w:t>
      </w:r>
    </w:p>
    <w:p w:rsidR="00124E9D" w:rsidRPr="00466C7D" w:rsidRDefault="00124E9D">
      <w:pPr>
        <w:rPr>
          <w:rFonts w:cs="Times New Roman"/>
          <w:szCs w:val="24"/>
        </w:rPr>
      </w:pPr>
    </w:p>
    <w:sectPr w:rsidR="00124E9D" w:rsidRPr="00466C7D" w:rsidSect="00124E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Arial">
    <w:panose1 w:val="020B0604020202020204"/>
    <w:charset w:val="A2"/>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51865"/>
    <w:multiLevelType w:val="hybridMultilevel"/>
    <w:tmpl w:val="EC18F79C"/>
    <w:lvl w:ilvl="0" w:tplc="D6307F6C">
      <w:start w:val="3"/>
      <w:numFmt w:val="bullet"/>
      <w:lvlText w:val="-"/>
      <w:lvlJc w:val="left"/>
      <w:pPr>
        <w:ind w:left="757" w:hanging="360"/>
      </w:pPr>
      <w:rPr>
        <w:rFonts w:ascii="Times New Roman" w:eastAsia="Batang" w:hAnsi="Times New Roman" w:cs="Times New Roman" w:hint="default"/>
      </w:rPr>
    </w:lvl>
    <w:lvl w:ilvl="1" w:tplc="041F0003" w:tentative="1">
      <w:start w:val="1"/>
      <w:numFmt w:val="bullet"/>
      <w:lvlText w:val="o"/>
      <w:lvlJc w:val="left"/>
      <w:pPr>
        <w:ind w:left="1477" w:hanging="360"/>
      </w:pPr>
      <w:rPr>
        <w:rFonts w:ascii="Courier New" w:hAnsi="Courier New" w:cs="Courier New" w:hint="default"/>
      </w:rPr>
    </w:lvl>
    <w:lvl w:ilvl="2" w:tplc="041F0005" w:tentative="1">
      <w:start w:val="1"/>
      <w:numFmt w:val="bullet"/>
      <w:lvlText w:val=""/>
      <w:lvlJc w:val="left"/>
      <w:pPr>
        <w:ind w:left="2197" w:hanging="360"/>
      </w:pPr>
      <w:rPr>
        <w:rFonts w:ascii="Wingdings" w:hAnsi="Wingdings" w:hint="default"/>
      </w:rPr>
    </w:lvl>
    <w:lvl w:ilvl="3" w:tplc="041F0001" w:tentative="1">
      <w:start w:val="1"/>
      <w:numFmt w:val="bullet"/>
      <w:lvlText w:val=""/>
      <w:lvlJc w:val="left"/>
      <w:pPr>
        <w:ind w:left="2917" w:hanging="360"/>
      </w:pPr>
      <w:rPr>
        <w:rFonts w:ascii="Symbol" w:hAnsi="Symbol" w:hint="default"/>
      </w:rPr>
    </w:lvl>
    <w:lvl w:ilvl="4" w:tplc="041F0003" w:tentative="1">
      <w:start w:val="1"/>
      <w:numFmt w:val="bullet"/>
      <w:lvlText w:val="o"/>
      <w:lvlJc w:val="left"/>
      <w:pPr>
        <w:ind w:left="3637" w:hanging="360"/>
      </w:pPr>
      <w:rPr>
        <w:rFonts w:ascii="Courier New" w:hAnsi="Courier New" w:cs="Courier New" w:hint="default"/>
      </w:rPr>
    </w:lvl>
    <w:lvl w:ilvl="5" w:tplc="041F0005" w:tentative="1">
      <w:start w:val="1"/>
      <w:numFmt w:val="bullet"/>
      <w:lvlText w:val=""/>
      <w:lvlJc w:val="left"/>
      <w:pPr>
        <w:ind w:left="4357" w:hanging="360"/>
      </w:pPr>
      <w:rPr>
        <w:rFonts w:ascii="Wingdings" w:hAnsi="Wingdings" w:hint="default"/>
      </w:rPr>
    </w:lvl>
    <w:lvl w:ilvl="6" w:tplc="041F0001" w:tentative="1">
      <w:start w:val="1"/>
      <w:numFmt w:val="bullet"/>
      <w:lvlText w:val=""/>
      <w:lvlJc w:val="left"/>
      <w:pPr>
        <w:ind w:left="5077" w:hanging="360"/>
      </w:pPr>
      <w:rPr>
        <w:rFonts w:ascii="Symbol" w:hAnsi="Symbol" w:hint="default"/>
      </w:rPr>
    </w:lvl>
    <w:lvl w:ilvl="7" w:tplc="041F0003" w:tentative="1">
      <w:start w:val="1"/>
      <w:numFmt w:val="bullet"/>
      <w:lvlText w:val="o"/>
      <w:lvlJc w:val="left"/>
      <w:pPr>
        <w:ind w:left="5797" w:hanging="360"/>
      </w:pPr>
      <w:rPr>
        <w:rFonts w:ascii="Courier New" w:hAnsi="Courier New" w:cs="Courier New" w:hint="default"/>
      </w:rPr>
    </w:lvl>
    <w:lvl w:ilvl="8" w:tplc="041F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3EB7"/>
    <w:rsid w:val="00124E9D"/>
    <w:rsid w:val="00287FEB"/>
    <w:rsid w:val="00466C7D"/>
    <w:rsid w:val="006C5384"/>
    <w:rsid w:val="006E7510"/>
    <w:rsid w:val="00833FCF"/>
    <w:rsid w:val="00B43EB7"/>
    <w:rsid w:val="00BA1338"/>
    <w:rsid w:val="00C20868"/>
    <w:rsid w:val="00C4417D"/>
    <w:rsid w:val="00C53D1D"/>
    <w:rsid w:val="00CE54FC"/>
    <w:rsid w:val="00DD1E61"/>
    <w:rsid w:val="00DE695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20"/>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EB7"/>
    <w:pPr>
      <w:spacing w:line="360" w:lineRule="auto"/>
      <w:ind w:firstLine="0"/>
      <w:jc w:val="both"/>
    </w:pPr>
    <w:rPr>
      <w:rFonts w:ascii="Times New Roman" w:hAnsi="Times New Roman"/>
      <w:sz w:val="24"/>
    </w:rPr>
  </w:style>
  <w:style w:type="paragraph" w:styleId="Balk1">
    <w:name w:val="heading 1"/>
    <w:basedOn w:val="Normal"/>
    <w:next w:val="Normal"/>
    <w:link w:val="Balk1Char"/>
    <w:uiPriority w:val="9"/>
    <w:qFormat/>
    <w:rsid w:val="00DD1E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4">
    <w:name w:val="heading 4"/>
    <w:basedOn w:val="Normal"/>
    <w:link w:val="Balk4Char"/>
    <w:uiPriority w:val="9"/>
    <w:qFormat/>
    <w:rsid w:val="00DD1E61"/>
    <w:pPr>
      <w:spacing w:before="100" w:beforeAutospacing="1" w:after="100" w:afterAutospacing="1" w:line="240" w:lineRule="auto"/>
      <w:jc w:val="left"/>
      <w:outlineLvl w:val="3"/>
    </w:pPr>
    <w:rPr>
      <w:rFonts w:ascii="Arial" w:eastAsia="Times New Roman" w:hAnsi="Arial" w:cs="Arial"/>
      <w:b/>
      <w:bCs/>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43EB7"/>
    <w:pPr>
      <w:ind w:left="720"/>
      <w:contextualSpacing/>
    </w:pPr>
  </w:style>
  <w:style w:type="paragraph" w:customStyle="1" w:styleId="Default">
    <w:name w:val="Default"/>
    <w:rsid w:val="00B43EB7"/>
    <w:pPr>
      <w:autoSpaceDE w:val="0"/>
      <w:autoSpaceDN w:val="0"/>
      <w:adjustRightInd w:val="0"/>
      <w:spacing w:before="40" w:after="40" w:line="290" w:lineRule="exact"/>
      <w:jc w:val="both"/>
    </w:pPr>
    <w:rPr>
      <w:rFonts w:ascii="Times New Roman" w:eastAsia="Times New Roman" w:hAnsi="Times New Roman" w:cs="Times New Roman"/>
      <w:color w:val="000000"/>
      <w:sz w:val="24"/>
      <w:szCs w:val="24"/>
      <w:lang w:eastAsia="tr-TR"/>
    </w:rPr>
  </w:style>
  <w:style w:type="character" w:customStyle="1" w:styleId="Balk4Char">
    <w:name w:val="Başlık 4 Char"/>
    <w:basedOn w:val="VarsaylanParagrafYazTipi"/>
    <w:link w:val="Balk4"/>
    <w:uiPriority w:val="9"/>
    <w:rsid w:val="00DD1E61"/>
    <w:rPr>
      <w:rFonts w:ascii="Arial" w:eastAsia="Times New Roman" w:hAnsi="Arial" w:cs="Arial"/>
      <w:b/>
      <w:bCs/>
      <w:sz w:val="24"/>
      <w:szCs w:val="24"/>
      <w:lang w:eastAsia="tr-TR"/>
    </w:rPr>
  </w:style>
  <w:style w:type="character" w:styleId="Kpr">
    <w:name w:val="Hyperlink"/>
    <w:basedOn w:val="VarsaylanParagrafYazTipi"/>
    <w:uiPriority w:val="99"/>
    <w:semiHidden/>
    <w:unhideWhenUsed/>
    <w:rsid w:val="00DD1E61"/>
    <w:rPr>
      <w:color w:val="0000FF"/>
      <w:u w:val="single"/>
    </w:rPr>
  </w:style>
  <w:style w:type="paragraph" w:styleId="NormalWeb">
    <w:name w:val="Normal (Web)"/>
    <w:basedOn w:val="Normal"/>
    <w:uiPriority w:val="99"/>
    <w:semiHidden/>
    <w:unhideWhenUsed/>
    <w:rsid w:val="00DD1E61"/>
    <w:pPr>
      <w:spacing w:before="100" w:beforeAutospacing="1" w:after="100" w:afterAutospacing="1" w:line="240" w:lineRule="auto"/>
      <w:jc w:val="left"/>
    </w:pPr>
    <w:rPr>
      <w:rFonts w:ascii="Arial" w:eastAsia="Times New Roman" w:hAnsi="Arial" w:cs="Arial"/>
      <w:szCs w:val="24"/>
      <w:lang w:eastAsia="tr-TR"/>
    </w:rPr>
  </w:style>
  <w:style w:type="character" w:styleId="Gl">
    <w:name w:val="Strong"/>
    <w:basedOn w:val="VarsaylanParagrafYazTipi"/>
    <w:uiPriority w:val="22"/>
    <w:qFormat/>
    <w:rsid w:val="00DD1E61"/>
    <w:rPr>
      <w:b/>
      <w:bCs/>
    </w:rPr>
  </w:style>
  <w:style w:type="character" w:customStyle="1" w:styleId="Balk1Char">
    <w:name w:val="Başlık 1 Char"/>
    <w:basedOn w:val="VarsaylanParagrafYazTipi"/>
    <w:link w:val="Balk1"/>
    <w:uiPriority w:val="9"/>
    <w:rsid w:val="00DD1E6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56139121">
      <w:bodyDiv w:val="1"/>
      <w:marLeft w:val="0"/>
      <w:marRight w:val="0"/>
      <w:marTop w:val="0"/>
      <w:marBottom w:val="0"/>
      <w:divBdr>
        <w:top w:val="none" w:sz="0" w:space="0" w:color="auto"/>
        <w:left w:val="none" w:sz="0" w:space="0" w:color="auto"/>
        <w:bottom w:val="none" w:sz="0" w:space="0" w:color="auto"/>
        <w:right w:val="none" w:sz="0" w:space="0" w:color="auto"/>
      </w:divBdr>
    </w:div>
    <w:div w:id="473062789">
      <w:bodyDiv w:val="1"/>
      <w:marLeft w:val="0"/>
      <w:marRight w:val="0"/>
      <w:marTop w:val="0"/>
      <w:marBottom w:val="0"/>
      <w:divBdr>
        <w:top w:val="none" w:sz="0" w:space="0" w:color="auto"/>
        <w:left w:val="none" w:sz="0" w:space="0" w:color="auto"/>
        <w:bottom w:val="none" w:sz="0" w:space="0" w:color="auto"/>
        <w:right w:val="none" w:sz="0" w:space="0" w:color="auto"/>
      </w:divBdr>
    </w:div>
    <w:div w:id="773407736">
      <w:bodyDiv w:val="1"/>
      <w:marLeft w:val="0"/>
      <w:marRight w:val="0"/>
      <w:marTop w:val="0"/>
      <w:marBottom w:val="0"/>
      <w:divBdr>
        <w:top w:val="none" w:sz="0" w:space="0" w:color="auto"/>
        <w:left w:val="none" w:sz="0" w:space="0" w:color="auto"/>
        <w:bottom w:val="none" w:sz="0" w:space="0" w:color="auto"/>
        <w:right w:val="none" w:sz="0" w:space="0" w:color="auto"/>
      </w:divBdr>
    </w:div>
    <w:div w:id="163763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files/tc527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azanci.com/kho2/ibb/files/tc5271.htm" TargetMode="External"/><Relationship Id="rId12" Type="http://schemas.openxmlformats.org/officeDocument/2006/relationships/hyperlink" Target="http://www.kazanci.com/kho2/ibb/files/tc5271.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zanci.com/kho2/ibb/files/tc5271.htm" TargetMode="External"/><Relationship Id="rId11" Type="http://schemas.openxmlformats.org/officeDocument/2006/relationships/hyperlink" Target="http://www.kazanci.com/kho2/ibb/files/tc5271.htm" TargetMode="External"/><Relationship Id="rId5" Type="http://schemas.openxmlformats.org/officeDocument/2006/relationships/webSettings" Target="webSettings.xml"/><Relationship Id="rId10" Type="http://schemas.openxmlformats.org/officeDocument/2006/relationships/hyperlink" Target="http://www.kazanci.com/kho2/ibb/files/tc5271.htm" TargetMode="External"/><Relationship Id="rId4" Type="http://schemas.openxmlformats.org/officeDocument/2006/relationships/settings" Target="settings.xml"/><Relationship Id="rId9" Type="http://schemas.openxmlformats.org/officeDocument/2006/relationships/hyperlink" Target="http://www.kazanci.com/kho2/ibb/files/tc2709.htm"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27A8B9-C4A3-4DFD-ABCA-223281579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6</Pages>
  <Words>2441</Words>
  <Characters>13915</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2012-12-27T09:47:00Z</dcterms:created>
  <dcterms:modified xsi:type="dcterms:W3CDTF">2012-12-28T14:41:00Z</dcterms:modified>
</cp:coreProperties>
</file>